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sz w:val="28"/>
          <w:szCs w:val="28"/>
        </w:rPr>
      </w:pPr>
      <w:r>
        <w:rPr>
          <w:rFonts w:ascii="仿宋" w:hAnsi="仿宋" w:eastAsia="仿宋"/>
          <w:sz w:val="28"/>
          <w:szCs w:val="28"/>
        </w:rPr>
        <w:t>附件1：</w:t>
      </w:r>
    </w:p>
    <w:p>
      <w:pPr>
        <w:widowControl/>
        <w:jc w:val="center"/>
        <w:rPr>
          <w:rFonts w:ascii="方正小标宋简体" w:hAnsi="仿宋" w:eastAsia="方正小标宋简体"/>
          <w:sz w:val="36"/>
          <w:szCs w:val="36"/>
        </w:rPr>
      </w:pPr>
      <w:r>
        <w:rPr>
          <w:rFonts w:hint="eastAsia" w:ascii="方正小标宋简体" w:hAnsi="仿宋" w:eastAsia="方正小标宋简体"/>
          <w:sz w:val="36"/>
          <w:szCs w:val="36"/>
        </w:rPr>
        <w:t>“</w:t>
      </w:r>
      <w:r>
        <w:rPr>
          <w:rFonts w:hint="eastAsia" w:ascii="Times New Roman" w:eastAsia="方正小标宋简体"/>
          <w:sz w:val="36"/>
          <w:szCs w:val="36"/>
        </w:rPr>
        <w:t>湖湘建设绿色尖峰榜</w:t>
      </w:r>
      <w:r>
        <w:rPr>
          <w:rFonts w:hint="eastAsia" w:ascii="方正小标宋简体" w:hAnsi="仿宋" w:eastAsia="方正小标宋简体"/>
          <w:sz w:val="36"/>
          <w:szCs w:val="36"/>
        </w:rPr>
        <w:t>”评选办法</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第一章 总则</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为树立行业典范，促进行业健康有序发展，表彰在建设科技创新、绿色建筑、装配式建筑、建筑节能等领域做出突出贡献的单位、项目成果及个人，鼓励有关单位积极参与行业活动，引导湖南建筑绿色产业工作健康快速发展。为确保本评选活动有序地进行，并做到公开、公平、公正，特制定本办法。</w:t>
      </w:r>
    </w:p>
    <w:p>
      <w:pPr>
        <w:pStyle w:val="9"/>
        <w:numPr>
          <w:ilvl w:val="1"/>
          <w:numId w:val="2"/>
        </w:numPr>
        <w:spacing w:line="360" w:lineRule="auto"/>
        <w:ind w:left="0" w:firstLine="480" w:firstLineChars="200"/>
        <w:jc w:val="both"/>
        <w:rPr>
          <w:rFonts w:ascii="仿宋" w:hAnsi="仿宋" w:eastAsia="仿宋"/>
          <w:color w:val="auto"/>
        </w:rPr>
      </w:pPr>
      <w:r>
        <w:rPr>
          <w:rFonts w:ascii="仿宋" w:hAnsi="仿宋" w:eastAsia="仿宋" w:cs="黑体"/>
          <w:color w:val="auto"/>
        </w:rPr>
        <w:t xml:space="preserve"> “</w:t>
      </w:r>
      <w:r>
        <w:rPr>
          <w:rFonts w:hint="eastAsia" w:ascii="仿宋" w:hAnsi="仿宋" w:eastAsia="仿宋"/>
          <w:color w:val="auto"/>
        </w:rPr>
        <w:t>湖湘建设绿色尖峰榜</w:t>
      </w:r>
      <w:r>
        <w:rPr>
          <w:rFonts w:ascii="仿宋" w:hAnsi="仿宋" w:eastAsia="仿宋"/>
          <w:color w:val="auto"/>
        </w:rPr>
        <w:t>”</w:t>
      </w:r>
      <w:r>
        <w:rPr>
          <w:rFonts w:hint="eastAsia" w:ascii="仿宋" w:hAnsi="仿宋" w:eastAsia="仿宋"/>
          <w:color w:val="auto"/>
        </w:rPr>
        <w:t>是指对从事房地产开发、设计、施工、监理、材料、科研院校、检测等行业且在绿色建筑、装配式建筑、建筑节能等领域做出突出贡献的单位、领军企业、项目、科技人才评选与表彰，每年度评选一次，评选工作由省住房和城乡建设厅指导下，由湖南省建设科技与建筑节能协会和湖南省住宅产业化促进会共同组织实施，评选结果向全社会进行公布，并报省住房和城乡建设厅等政府部门。</w:t>
      </w:r>
    </w:p>
    <w:p>
      <w:pPr>
        <w:pStyle w:val="9"/>
        <w:numPr>
          <w:ilvl w:val="1"/>
          <w:numId w:val="2"/>
        </w:numPr>
        <w:spacing w:line="360" w:lineRule="auto"/>
        <w:ind w:left="0" w:firstLine="480" w:firstLineChars="200"/>
        <w:jc w:val="both"/>
        <w:rPr>
          <w:rFonts w:ascii="仿宋" w:hAnsi="仿宋" w:eastAsia="仿宋"/>
          <w:color w:val="auto"/>
        </w:rPr>
      </w:pPr>
      <w:r>
        <w:rPr>
          <w:rFonts w:ascii="仿宋" w:hAnsi="仿宋" w:eastAsia="仿宋" w:cs="黑体"/>
          <w:color w:val="auto"/>
        </w:rPr>
        <w:t xml:space="preserve"> “</w:t>
      </w:r>
      <w:r>
        <w:rPr>
          <w:rFonts w:hint="eastAsia" w:ascii="仿宋" w:hAnsi="仿宋" w:eastAsia="仿宋"/>
          <w:color w:val="auto"/>
        </w:rPr>
        <w:t>湖湘建设绿色尖峰榜</w:t>
      </w:r>
      <w:r>
        <w:rPr>
          <w:rFonts w:ascii="仿宋" w:hAnsi="仿宋" w:eastAsia="仿宋"/>
          <w:color w:val="auto"/>
        </w:rPr>
        <w:t>”</w:t>
      </w:r>
      <w:r>
        <w:rPr>
          <w:rFonts w:hint="eastAsia" w:ascii="仿宋" w:hAnsi="仿宋" w:eastAsia="仿宋"/>
          <w:color w:val="auto"/>
        </w:rPr>
        <w:t>分为单位类、项目成果类及人物类三类。</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第二章 申报条件</w:t>
      </w:r>
    </w:p>
    <w:p>
      <w:pPr>
        <w:pStyle w:val="9"/>
        <w:numPr>
          <w:ilvl w:val="1"/>
          <w:numId w:val="2"/>
        </w:numPr>
        <w:spacing w:line="360" w:lineRule="auto"/>
        <w:ind w:left="0" w:firstLine="480" w:firstLineChars="200"/>
        <w:jc w:val="both"/>
        <w:rPr>
          <w:rFonts w:ascii="仿宋" w:hAnsi="仿宋" w:eastAsia="仿宋"/>
          <w:color w:val="auto"/>
        </w:rPr>
      </w:pPr>
      <w:r>
        <w:rPr>
          <w:rFonts w:ascii="仿宋" w:hAnsi="仿宋" w:eastAsia="仿宋"/>
          <w:color w:val="auto"/>
        </w:rPr>
        <w:t xml:space="preserve"> </w:t>
      </w:r>
      <w:r>
        <w:rPr>
          <w:rFonts w:hint="eastAsia" w:ascii="仿宋" w:hAnsi="仿宋" w:eastAsia="仿宋"/>
          <w:color w:val="auto"/>
        </w:rPr>
        <w:t>申报单位应具备完备的工商营业、银行税务、组织机构及从事相关专业业务的合法手续，且在参评年度无违规行为，无建设主管部门处罚、市场不良记录等，社会信誉良好；积极参加行业内相关活动，主动为行业发展提供意见和建议；原则上每家单位限选报1个奖项，个人奖项，项目成果奖项和单位奖项不冲突。</w:t>
      </w:r>
    </w:p>
    <w:p>
      <w:pPr>
        <w:pStyle w:val="9"/>
        <w:spacing w:line="360" w:lineRule="auto"/>
        <w:ind w:left="480"/>
        <w:jc w:val="both"/>
        <w:rPr>
          <w:rFonts w:ascii="仿宋" w:hAnsi="仿宋" w:eastAsia="仿宋"/>
          <w:b/>
          <w:color w:val="auto"/>
        </w:rPr>
      </w:pPr>
      <w:r>
        <w:rPr>
          <w:rFonts w:hint="eastAsia" w:ascii="仿宋" w:hAnsi="仿宋" w:eastAsia="仿宋"/>
          <w:b/>
          <w:color w:val="auto"/>
        </w:rPr>
        <w:t>（一）“湖湘建设绿色尖峰榜”（单位）</w:t>
      </w:r>
    </w:p>
    <w:p>
      <w:pPr>
        <w:pStyle w:val="9"/>
        <w:numPr>
          <w:ilvl w:val="255"/>
          <w:numId w:val="0"/>
        </w:numPr>
        <w:spacing w:line="360" w:lineRule="auto"/>
        <w:ind w:firstLine="482" w:firstLineChars="200"/>
        <w:jc w:val="both"/>
        <w:rPr>
          <w:rFonts w:ascii="仿宋" w:hAnsi="仿宋" w:eastAsia="仿宋"/>
          <w:b/>
          <w:color w:val="auto"/>
        </w:rPr>
      </w:pPr>
      <w:r>
        <w:rPr>
          <w:rFonts w:ascii="仿宋" w:hAnsi="仿宋" w:eastAsia="仿宋"/>
          <w:b/>
          <w:color w:val="auto"/>
        </w:rPr>
        <w:t>1.</w:t>
      </w:r>
      <w:r>
        <w:rPr>
          <w:rFonts w:hint="eastAsia" w:ascii="仿宋" w:hAnsi="仿宋" w:eastAsia="仿宋"/>
          <w:b/>
          <w:color w:val="auto"/>
        </w:rPr>
        <w:t>湖南省建设行业科技创新型企业</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1</w:t>
      </w:r>
      <w:r>
        <w:rPr>
          <w:rFonts w:hint="eastAsia" w:ascii="仿宋" w:hAnsi="仿宋" w:eastAsia="仿宋"/>
          <w:snapToGrid w:val="0"/>
          <w:spacing w:val="1"/>
          <w:sz w:val="24"/>
          <w:szCs w:val="24"/>
        </w:rPr>
        <w:t>）企业经营连续</w:t>
      </w:r>
      <w:r>
        <w:rPr>
          <w:rFonts w:ascii="仿宋" w:hAnsi="仿宋" w:eastAsia="仿宋"/>
          <w:snapToGrid w:val="0"/>
          <w:spacing w:val="1"/>
          <w:sz w:val="24"/>
          <w:szCs w:val="24"/>
        </w:rPr>
        <w:t>3</w:t>
      </w:r>
      <w:r>
        <w:rPr>
          <w:rFonts w:hint="eastAsia" w:ascii="仿宋" w:hAnsi="仿宋" w:eastAsia="仿宋"/>
          <w:snapToGrid w:val="0"/>
          <w:spacing w:val="1"/>
          <w:sz w:val="24"/>
          <w:szCs w:val="24"/>
        </w:rPr>
        <w:t>年完成总产值（施工特级企业每年在</w:t>
      </w:r>
      <w:r>
        <w:rPr>
          <w:rFonts w:ascii="仿宋" w:hAnsi="仿宋" w:eastAsia="仿宋"/>
          <w:snapToGrid w:val="0"/>
          <w:spacing w:val="1"/>
          <w:sz w:val="24"/>
          <w:szCs w:val="24"/>
        </w:rPr>
        <w:t>50</w:t>
      </w:r>
      <w:r>
        <w:rPr>
          <w:rFonts w:hint="eastAsia" w:ascii="仿宋" w:hAnsi="仿宋" w:eastAsia="仿宋"/>
          <w:snapToGrid w:val="0"/>
          <w:spacing w:val="1"/>
          <w:sz w:val="24"/>
          <w:szCs w:val="24"/>
        </w:rPr>
        <w:t>亿元及以上；施工壹级企业每年在</w:t>
      </w:r>
      <w:r>
        <w:rPr>
          <w:rFonts w:ascii="仿宋" w:hAnsi="仿宋" w:eastAsia="仿宋"/>
          <w:snapToGrid w:val="0"/>
          <w:spacing w:val="1"/>
          <w:sz w:val="24"/>
          <w:szCs w:val="24"/>
        </w:rPr>
        <w:t>10</w:t>
      </w:r>
      <w:r>
        <w:rPr>
          <w:rFonts w:hint="eastAsia" w:ascii="仿宋" w:hAnsi="仿宋" w:eastAsia="仿宋"/>
          <w:snapToGrid w:val="0"/>
          <w:spacing w:val="1"/>
          <w:sz w:val="24"/>
          <w:szCs w:val="24"/>
        </w:rPr>
        <w:t>亿元及以上；其他相关建设行业科技企业（单位）应具有相应经营规模，产值暂不设限）。</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2</w:t>
      </w:r>
      <w:r>
        <w:rPr>
          <w:rFonts w:hint="eastAsia" w:ascii="仿宋" w:hAnsi="仿宋" w:eastAsia="仿宋"/>
          <w:snapToGrid w:val="0"/>
          <w:spacing w:val="1"/>
          <w:sz w:val="24"/>
          <w:szCs w:val="24"/>
        </w:rPr>
        <w:t>）</w:t>
      </w:r>
      <w:r>
        <w:rPr>
          <w:rFonts w:hint="eastAsia" w:ascii="仿宋" w:hAnsi="仿宋" w:eastAsia="仿宋"/>
          <w:bCs/>
          <w:sz w:val="24"/>
          <w:szCs w:val="24"/>
        </w:rPr>
        <w:t>科技经费投入情况（≥当年结算收入的</w:t>
      </w:r>
      <w:r>
        <w:rPr>
          <w:rFonts w:ascii="仿宋" w:hAnsi="仿宋" w:eastAsia="仿宋"/>
          <w:bCs/>
          <w:sz w:val="24"/>
          <w:szCs w:val="24"/>
        </w:rPr>
        <w:t>0.5%</w:t>
      </w:r>
      <w:r>
        <w:rPr>
          <w:rFonts w:hint="eastAsia" w:ascii="仿宋" w:hAnsi="仿宋" w:eastAsia="仿宋"/>
          <w:bCs/>
          <w:sz w:val="24"/>
          <w:szCs w:val="24"/>
        </w:rPr>
        <w:t>）</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3</w:t>
      </w:r>
      <w:r>
        <w:rPr>
          <w:rFonts w:hint="eastAsia" w:ascii="仿宋" w:hAnsi="仿宋" w:eastAsia="仿宋"/>
          <w:snapToGrid w:val="0"/>
          <w:spacing w:val="1"/>
          <w:sz w:val="24"/>
          <w:szCs w:val="24"/>
        </w:rPr>
        <w:t>）具有较高水平的科技管理机构，具有行业技术领先地位；重视科技人员和高技能人才的培养、吸引和使用；具有良好的产学研合作关系。</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4</w:t>
      </w:r>
      <w:r>
        <w:rPr>
          <w:rFonts w:hint="eastAsia" w:ascii="仿宋" w:hAnsi="仿宋" w:eastAsia="仿宋"/>
          <w:snapToGrid w:val="0"/>
          <w:spacing w:val="1"/>
          <w:sz w:val="24"/>
          <w:szCs w:val="24"/>
        </w:rPr>
        <w:t>）具有较强的盈利能力和较高的管理水平，</w:t>
      </w:r>
      <w:r>
        <w:rPr>
          <w:rFonts w:ascii="仿宋" w:hAnsi="仿宋" w:eastAsia="仿宋"/>
          <w:snapToGrid w:val="0"/>
          <w:spacing w:val="1"/>
          <w:sz w:val="24"/>
          <w:szCs w:val="24"/>
        </w:rPr>
        <w:t>3</w:t>
      </w:r>
      <w:r>
        <w:rPr>
          <w:rFonts w:hint="eastAsia" w:ascii="仿宋" w:hAnsi="仿宋" w:eastAsia="仿宋"/>
          <w:snapToGrid w:val="0"/>
          <w:spacing w:val="1"/>
          <w:sz w:val="24"/>
          <w:szCs w:val="24"/>
        </w:rPr>
        <w:t>年以来连续盈利；资产负债率合理，具有良好的企业品牌和社会形象；已通过质量管理等相关认证，知识产权管理制度和管理体系健全。</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5</w:t>
      </w:r>
      <w:r>
        <w:rPr>
          <w:rFonts w:hint="eastAsia" w:ascii="仿宋" w:hAnsi="仿宋" w:eastAsia="仿宋"/>
          <w:snapToGrid w:val="0"/>
          <w:spacing w:val="1"/>
          <w:sz w:val="24"/>
          <w:szCs w:val="24"/>
        </w:rPr>
        <w:t>）拥有省部级以上（含）优质工程或科技成果</w:t>
      </w:r>
      <w:r>
        <w:rPr>
          <w:rFonts w:ascii="仿宋" w:hAnsi="仿宋" w:eastAsia="仿宋"/>
          <w:snapToGrid w:val="0"/>
          <w:spacing w:val="1"/>
          <w:sz w:val="24"/>
          <w:szCs w:val="24"/>
        </w:rPr>
        <w:t>,</w:t>
      </w:r>
      <w:r>
        <w:rPr>
          <w:rFonts w:hint="eastAsia" w:ascii="仿宋" w:hAnsi="仿宋" w:eastAsia="仿宋"/>
          <w:snapToGrid w:val="0"/>
          <w:spacing w:val="1"/>
          <w:sz w:val="24"/>
          <w:szCs w:val="24"/>
        </w:rPr>
        <w:t>积极推广应用建筑业</w:t>
      </w:r>
      <w:r>
        <w:rPr>
          <w:rFonts w:ascii="仿宋" w:hAnsi="仿宋" w:eastAsia="仿宋"/>
          <w:snapToGrid w:val="0"/>
          <w:spacing w:val="1"/>
          <w:sz w:val="24"/>
          <w:szCs w:val="24"/>
        </w:rPr>
        <w:t>10</w:t>
      </w:r>
      <w:r>
        <w:rPr>
          <w:rFonts w:hint="eastAsia" w:ascii="仿宋" w:hAnsi="仿宋" w:eastAsia="仿宋"/>
          <w:snapToGrid w:val="0"/>
          <w:spacing w:val="1"/>
          <w:sz w:val="24"/>
          <w:szCs w:val="24"/>
        </w:rPr>
        <w:t>项新技术、绿色建筑、装配式建筑、建筑节能等相关技术、产品且成果显著。</w:t>
      </w:r>
    </w:p>
    <w:p>
      <w:pPr>
        <w:snapToGrid w:val="0"/>
        <w:spacing w:line="360" w:lineRule="auto"/>
        <w:ind w:firstLine="484" w:firstLineChars="200"/>
        <w:rPr>
          <w:rFonts w:ascii="仿宋" w:hAnsi="仿宋" w:eastAsia="仿宋"/>
          <w:snapToGrid w:val="0"/>
          <w:spacing w:val="1"/>
          <w:sz w:val="24"/>
          <w:szCs w:val="24"/>
        </w:rPr>
      </w:pPr>
      <w:r>
        <w:rPr>
          <w:rFonts w:hint="eastAsia" w:ascii="仿宋" w:hAnsi="仿宋" w:eastAsia="仿宋"/>
          <w:snapToGrid w:val="0"/>
          <w:spacing w:val="1"/>
          <w:sz w:val="24"/>
          <w:szCs w:val="24"/>
        </w:rPr>
        <w:t>（</w:t>
      </w:r>
      <w:r>
        <w:rPr>
          <w:rFonts w:ascii="仿宋" w:hAnsi="仿宋" w:eastAsia="仿宋"/>
          <w:snapToGrid w:val="0"/>
          <w:spacing w:val="1"/>
          <w:sz w:val="24"/>
          <w:szCs w:val="24"/>
        </w:rPr>
        <w:t>6</w:t>
      </w:r>
      <w:r>
        <w:rPr>
          <w:rFonts w:hint="eastAsia" w:ascii="仿宋" w:hAnsi="仿宋" w:eastAsia="仿宋"/>
          <w:snapToGrid w:val="0"/>
          <w:spacing w:val="1"/>
          <w:sz w:val="24"/>
          <w:szCs w:val="24"/>
        </w:rPr>
        <w:t>）具有明确的创新发展战略和良好的企业文化；重视技术创新，已制定单位技术创新发展规划；鼓励创新的薪酬激励和奖励表彰制度健全。</w:t>
      </w:r>
    </w:p>
    <w:p>
      <w:pPr>
        <w:pStyle w:val="9"/>
        <w:numPr>
          <w:ilvl w:val="0"/>
          <w:numId w:val="3"/>
        </w:numPr>
        <w:spacing w:line="360" w:lineRule="auto"/>
        <w:ind w:firstLine="482" w:firstLineChars="200"/>
        <w:jc w:val="both"/>
        <w:rPr>
          <w:rFonts w:ascii="仿宋" w:hAnsi="仿宋" w:eastAsia="仿宋"/>
          <w:b/>
          <w:color w:val="auto"/>
        </w:rPr>
      </w:pPr>
      <w:r>
        <w:rPr>
          <w:rFonts w:hint="eastAsia" w:ascii="仿宋" w:hAnsi="仿宋" w:eastAsia="仿宋"/>
          <w:b/>
          <w:color w:val="auto"/>
        </w:rPr>
        <w:t>湖南省绿色建筑、装配式建筑、建筑节能等行业优秀企业</w:t>
      </w:r>
    </w:p>
    <w:p>
      <w:pPr>
        <w:pStyle w:val="10"/>
        <w:numPr>
          <w:ilvl w:val="0"/>
          <w:numId w:val="4"/>
        </w:numPr>
        <w:spacing w:line="360" w:lineRule="auto"/>
        <w:ind w:left="0" w:firstLine="484"/>
        <w:rPr>
          <w:rFonts w:ascii="仿宋" w:hAnsi="仿宋" w:eastAsia="仿宋"/>
          <w:snapToGrid w:val="0"/>
          <w:spacing w:val="1"/>
          <w:sz w:val="24"/>
          <w:szCs w:val="24"/>
        </w:rPr>
      </w:pPr>
      <w:r>
        <w:rPr>
          <w:rFonts w:hint="eastAsia" w:ascii="仿宋" w:hAnsi="仿宋" w:eastAsia="仿宋"/>
          <w:snapToGrid w:val="0"/>
          <w:spacing w:val="1"/>
          <w:sz w:val="24"/>
          <w:szCs w:val="24"/>
        </w:rPr>
        <w:t>在湖南省内注册，注册资金不少于200万元，上一年度产值不低于2000万元；</w:t>
      </w:r>
    </w:p>
    <w:p>
      <w:pPr>
        <w:pStyle w:val="10"/>
        <w:numPr>
          <w:ilvl w:val="0"/>
          <w:numId w:val="4"/>
        </w:numPr>
        <w:spacing w:line="360" w:lineRule="auto"/>
        <w:ind w:left="0" w:firstLine="484"/>
        <w:rPr>
          <w:rFonts w:ascii="仿宋" w:hAnsi="仿宋" w:eastAsia="仿宋"/>
          <w:snapToGrid w:val="0"/>
          <w:spacing w:val="1"/>
          <w:sz w:val="24"/>
          <w:szCs w:val="24"/>
        </w:rPr>
      </w:pPr>
      <w:r>
        <w:rPr>
          <w:rFonts w:hint="eastAsia" w:ascii="仿宋" w:hAnsi="仿宋" w:eastAsia="仿宋"/>
          <w:snapToGrid w:val="0"/>
          <w:spacing w:val="1"/>
          <w:sz w:val="24"/>
          <w:szCs w:val="24"/>
        </w:rPr>
        <w:t>管理制度健全且具有先进性，管理手段、生产设施和设备先进，具有较强的技术服务能力；</w:t>
      </w:r>
    </w:p>
    <w:p>
      <w:pPr>
        <w:pStyle w:val="10"/>
        <w:numPr>
          <w:ilvl w:val="0"/>
          <w:numId w:val="4"/>
        </w:numPr>
        <w:spacing w:line="360" w:lineRule="auto"/>
        <w:ind w:left="0" w:firstLine="484"/>
        <w:rPr>
          <w:rFonts w:ascii="仿宋" w:hAnsi="仿宋" w:eastAsia="仿宋"/>
          <w:snapToGrid w:val="0"/>
          <w:spacing w:val="1"/>
          <w:sz w:val="24"/>
          <w:szCs w:val="24"/>
        </w:rPr>
      </w:pPr>
      <w:r>
        <w:rPr>
          <w:rFonts w:hint="eastAsia" w:ascii="仿宋" w:hAnsi="仿宋" w:eastAsia="仿宋"/>
          <w:snapToGrid w:val="0"/>
          <w:spacing w:val="1"/>
          <w:sz w:val="24"/>
          <w:szCs w:val="24"/>
        </w:rPr>
        <w:t>企业守法经营，按章纳税，近两年内无重大质量、安全、环保问题及相关负面信息。</w:t>
      </w:r>
    </w:p>
    <w:p>
      <w:pPr>
        <w:pStyle w:val="10"/>
        <w:numPr>
          <w:ilvl w:val="0"/>
          <w:numId w:val="4"/>
        </w:numPr>
        <w:spacing w:line="360" w:lineRule="auto"/>
        <w:ind w:left="0" w:firstLine="484"/>
        <w:rPr>
          <w:rFonts w:ascii="仿宋" w:hAnsi="仿宋" w:eastAsia="仿宋"/>
          <w:snapToGrid w:val="0"/>
          <w:spacing w:val="1"/>
          <w:sz w:val="24"/>
          <w:szCs w:val="24"/>
        </w:rPr>
      </w:pPr>
      <w:r>
        <w:rPr>
          <w:rFonts w:hint="eastAsia" w:ascii="仿宋" w:hAnsi="仿宋" w:eastAsia="仿宋"/>
          <w:snapToGrid w:val="0"/>
          <w:spacing w:val="1"/>
          <w:sz w:val="24"/>
          <w:szCs w:val="24"/>
        </w:rPr>
        <w:t>热心行业工作，积极组织开展或参加我省建筑节能行业内有关学术交流、研讨培训、技术推广、展会论坛等活动。</w:t>
      </w:r>
    </w:p>
    <w:p>
      <w:pPr>
        <w:pStyle w:val="10"/>
        <w:numPr>
          <w:ilvl w:val="0"/>
          <w:numId w:val="4"/>
        </w:numPr>
        <w:spacing w:line="360" w:lineRule="auto"/>
        <w:ind w:left="0" w:firstLine="484"/>
        <w:rPr>
          <w:rFonts w:ascii="仿宋" w:hAnsi="仿宋" w:eastAsia="仿宋"/>
          <w:snapToGrid w:val="0"/>
          <w:spacing w:val="1"/>
          <w:sz w:val="24"/>
          <w:szCs w:val="24"/>
        </w:rPr>
      </w:pPr>
      <w:r>
        <w:rPr>
          <w:rFonts w:hint="eastAsia" w:ascii="仿宋" w:hAnsi="仿宋" w:eastAsia="仿宋"/>
          <w:snapToGrid w:val="0"/>
          <w:spacing w:val="1"/>
          <w:sz w:val="24"/>
          <w:szCs w:val="24"/>
        </w:rPr>
        <w:t>已列入《湖南省建筑节能技术、工艺、材料、设备推广应用目录》，仍在有效期内的单位优先；已参与的建筑项目中有获得绿色建筑评价标识的项目优先；已参与的建筑项目中有获得国家级或省级绿色施工（示范）工程的项目优先；国家级或省级装配式建筑产业基地优先</w:t>
      </w:r>
    </w:p>
    <w:p>
      <w:pPr>
        <w:pStyle w:val="9"/>
        <w:spacing w:line="360" w:lineRule="auto"/>
        <w:ind w:left="480"/>
        <w:jc w:val="both"/>
        <w:rPr>
          <w:rFonts w:ascii="仿宋" w:hAnsi="仿宋" w:eastAsia="仿宋"/>
          <w:b/>
          <w:color w:val="auto"/>
        </w:rPr>
      </w:pPr>
      <w:r>
        <w:rPr>
          <w:rFonts w:hint="eastAsia" w:ascii="仿宋" w:hAnsi="仿宋" w:eastAsia="仿宋"/>
          <w:b/>
          <w:color w:val="auto"/>
        </w:rPr>
        <w:t>（二）“湖湘建设绿色尖峰榜”（项目成果）</w:t>
      </w:r>
    </w:p>
    <w:p>
      <w:pPr>
        <w:pStyle w:val="9"/>
        <w:numPr>
          <w:ilvl w:val="255"/>
          <w:numId w:val="0"/>
        </w:numPr>
        <w:spacing w:line="360" w:lineRule="auto"/>
        <w:ind w:firstLine="482" w:firstLineChars="200"/>
        <w:jc w:val="both"/>
        <w:rPr>
          <w:rFonts w:ascii="仿宋" w:hAnsi="仿宋" w:eastAsia="仿宋"/>
          <w:color w:val="auto"/>
        </w:rPr>
      </w:pPr>
      <w:r>
        <w:rPr>
          <w:rFonts w:ascii="仿宋" w:hAnsi="仿宋" w:eastAsia="仿宋"/>
          <w:b/>
          <w:color w:val="auto"/>
        </w:rPr>
        <w:t>1.</w:t>
      </w:r>
      <w:r>
        <w:rPr>
          <w:rFonts w:hint="eastAsia" w:ascii="仿宋" w:hAnsi="仿宋" w:eastAsia="仿宋"/>
          <w:b/>
          <w:color w:val="auto"/>
        </w:rPr>
        <w:t>湖南省建设行业</w:t>
      </w:r>
      <w:r>
        <w:rPr>
          <w:rFonts w:hint="eastAsia" w:ascii="仿宋" w:hAnsi="仿宋" w:eastAsia="仿宋"/>
          <w:b/>
          <w:color w:val="auto"/>
          <w:lang w:eastAsia="zh-CN"/>
        </w:rPr>
        <w:t>科技</w:t>
      </w:r>
      <w:r>
        <w:rPr>
          <w:rFonts w:hint="eastAsia" w:ascii="仿宋" w:hAnsi="仿宋" w:eastAsia="仿宋"/>
          <w:b/>
          <w:color w:val="auto"/>
        </w:rPr>
        <w:t>创新成果奖</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申报的项目应满足《湖南省建设行业科学技术创新成果奖励办法（试行）》规定的条件，还必须满足以下条件：</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w:t>
      </w:r>
      <w:r>
        <w:rPr>
          <w:rFonts w:ascii="仿宋" w:hAnsi="仿宋" w:eastAsia="仿宋"/>
          <w:color w:val="auto"/>
        </w:rPr>
        <w:t>1</w:t>
      </w:r>
      <w:r>
        <w:rPr>
          <w:rFonts w:hint="eastAsia" w:ascii="仿宋" w:hAnsi="仿宋" w:eastAsia="仿宋"/>
          <w:color w:val="auto"/>
        </w:rPr>
        <w:t>）技术类项目要求经有关管理部门组织的科技成果鉴定（评估、验收），并提供应用证明；标准规范类项目需已颁布实施，并提供宣贯情况与证明；建筑智能化、管理信息化以及相关软件类项目要求经有关管理部门组织的鉴定（评估、验收），并提供应用证明；软件类项目需提供软件测试报告，并提供应用证明。</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w:t>
      </w:r>
      <w:r>
        <w:rPr>
          <w:rFonts w:ascii="仿宋" w:hAnsi="仿宋" w:eastAsia="仿宋"/>
          <w:color w:val="auto"/>
        </w:rPr>
        <w:t>2</w:t>
      </w:r>
      <w:r>
        <w:rPr>
          <w:rFonts w:hint="eastAsia" w:ascii="仿宋" w:hAnsi="仿宋" w:eastAsia="仿宋"/>
          <w:color w:val="auto"/>
        </w:rPr>
        <w:t>）以重大工程为依托的项目，其工程已竣工验收，提供验收报告及资料备案表。</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w:t>
      </w:r>
      <w:r>
        <w:rPr>
          <w:rFonts w:ascii="仿宋" w:hAnsi="仿宋" w:eastAsia="仿宋"/>
          <w:color w:val="auto"/>
        </w:rPr>
        <w:t>3</w:t>
      </w:r>
      <w:r>
        <w:rPr>
          <w:rFonts w:hint="eastAsia" w:ascii="仿宋" w:hAnsi="仿宋" w:eastAsia="仿宋"/>
          <w:color w:val="auto"/>
        </w:rPr>
        <w:t>）因多个单项科技成果关联性强联合申报的项目必须经有关管理部门做出整体性技术评价（鉴定、评估、验收）。</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w:t>
      </w:r>
      <w:r>
        <w:rPr>
          <w:rFonts w:ascii="仿宋" w:hAnsi="仿宋" w:eastAsia="仿宋"/>
          <w:color w:val="auto"/>
        </w:rPr>
        <w:t>4</w:t>
      </w:r>
      <w:r>
        <w:rPr>
          <w:rFonts w:hint="eastAsia" w:ascii="仿宋" w:hAnsi="仿宋" w:eastAsia="仿宋"/>
          <w:color w:val="auto"/>
        </w:rPr>
        <w:t>）项目第一完成单位必须是湖南省建设科技与建筑节能协会会员单位，两个以上（含两个）单位共同完成的项目，由第一完成单位与其他完成单位协商一致后推荐申报。</w:t>
      </w:r>
    </w:p>
    <w:p>
      <w:pPr>
        <w:pStyle w:val="9"/>
        <w:numPr>
          <w:ilvl w:val="255"/>
          <w:numId w:val="0"/>
        </w:numPr>
        <w:spacing w:line="360" w:lineRule="auto"/>
        <w:ind w:firstLine="482" w:firstLineChars="200"/>
        <w:jc w:val="both"/>
        <w:rPr>
          <w:rFonts w:ascii="仿宋" w:hAnsi="仿宋" w:eastAsia="仿宋"/>
          <w:color w:val="auto"/>
        </w:rPr>
      </w:pPr>
      <w:r>
        <w:rPr>
          <w:rFonts w:ascii="仿宋" w:hAnsi="仿宋" w:eastAsia="仿宋"/>
          <w:b/>
          <w:color w:val="auto"/>
        </w:rPr>
        <w:t>2.</w:t>
      </w:r>
      <w:r>
        <w:rPr>
          <w:rFonts w:hint="eastAsia" w:ascii="仿宋" w:hAnsi="仿宋" w:eastAsia="仿宋"/>
          <w:b/>
          <w:color w:val="auto"/>
        </w:rPr>
        <w:t>湖南省绿色建筑、装配式建筑、建筑节能等行业优秀项目</w:t>
      </w:r>
    </w:p>
    <w:p>
      <w:pPr>
        <w:pStyle w:val="9"/>
        <w:numPr>
          <w:ilvl w:val="0"/>
          <w:numId w:val="5"/>
        </w:numPr>
        <w:spacing w:line="360" w:lineRule="auto"/>
        <w:ind w:firstLine="480" w:firstLineChars="200"/>
        <w:jc w:val="both"/>
        <w:rPr>
          <w:rFonts w:ascii="仿宋" w:hAnsi="仿宋" w:eastAsia="仿宋"/>
          <w:color w:val="auto"/>
        </w:rPr>
      </w:pPr>
      <w:r>
        <w:rPr>
          <w:rFonts w:hint="eastAsia" w:ascii="仿宋" w:hAnsi="仿宋" w:eastAsia="仿宋"/>
          <w:color w:val="auto"/>
        </w:rPr>
        <w:t>在湖南省内已竣工的绿色建筑、装配式建筑、建筑节能等项目，项目应具有区域代表性；</w:t>
      </w:r>
    </w:p>
    <w:p>
      <w:pPr>
        <w:pStyle w:val="9"/>
        <w:numPr>
          <w:ilvl w:val="0"/>
          <w:numId w:val="5"/>
        </w:numPr>
        <w:spacing w:line="360" w:lineRule="auto"/>
        <w:ind w:firstLine="480" w:firstLineChars="200"/>
        <w:jc w:val="both"/>
        <w:rPr>
          <w:rFonts w:ascii="仿宋" w:hAnsi="仿宋" w:eastAsia="仿宋"/>
          <w:color w:val="auto"/>
        </w:rPr>
      </w:pPr>
      <w:r>
        <w:rPr>
          <w:rFonts w:hint="eastAsia" w:ascii="仿宋" w:hAnsi="仿宋" w:eastAsia="仿宋"/>
          <w:color w:val="auto"/>
        </w:rPr>
        <w:t>项目设计、规划、施工质量符合我省绿色建筑、装配式建筑、建筑节能等行业标准，或使用的绿色建材应是《湖南省建筑节能技术、工艺、材料、设备推广应用目录（绿色建筑材料产品目录）》中公布的产品；</w:t>
      </w:r>
    </w:p>
    <w:p>
      <w:pPr>
        <w:pStyle w:val="9"/>
        <w:numPr>
          <w:ilvl w:val="0"/>
          <w:numId w:val="5"/>
        </w:numPr>
        <w:spacing w:line="360" w:lineRule="auto"/>
        <w:ind w:firstLine="480" w:firstLineChars="200"/>
        <w:jc w:val="both"/>
        <w:rPr>
          <w:rFonts w:ascii="仿宋" w:hAnsi="仿宋" w:eastAsia="仿宋"/>
          <w:color w:val="auto"/>
        </w:rPr>
      </w:pPr>
      <w:r>
        <w:rPr>
          <w:rFonts w:hint="eastAsia" w:ascii="仿宋" w:hAnsi="仿宋" w:eastAsia="仿宋"/>
          <w:color w:val="auto"/>
        </w:rPr>
        <w:t>项目立项、建设、经营过程中相关证件手续齐全，开发建设经营过程中无不良行为记录。</w:t>
      </w:r>
    </w:p>
    <w:p>
      <w:pPr>
        <w:pStyle w:val="9"/>
        <w:numPr>
          <w:ilvl w:val="0"/>
          <w:numId w:val="5"/>
        </w:numPr>
        <w:spacing w:line="360" w:lineRule="auto"/>
        <w:ind w:firstLine="480" w:firstLineChars="200"/>
        <w:jc w:val="both"/>
        <w:rPr>
          <w:rFonts w:ascii="仿宋" w:hAnsi="仿宋" w:eastAsia="仿宋"/>
          <w:color w:val="auto"/>
        </w:rPr>
      </w:pPr>
      <w:r>
        <w:rPr>
          <w:rFonts w:hint="eastAsia" w:ascii="仿宋" w:hAnsi="仿宋" w:eastAsia="仿宋"/>
          <w:color w:val="auto"/>
        </w:rPr>
        <w:t>绿色建筑二、三星级设计标识项目或绿色建筑运行标识项目优先，</w:t>
      </w:r>
      <w:r>
        <w:rPr>
          <w:rFonts w:hint="eastAsia" w:ascii="仿宋" w:hAnsi="仿宋" w:eastAsia="仿宋"/>
          <w:snapToGrid w:val="0"/>
          <w:color w:val="auto"/>
          <w:spacing w:val="1"/>
        </w:rPr>
        <w:t>国家级或省级绿色施工（示范）工程优先。</w:t>
      </w:r>
    </w:p>
    <w:p>
      <w:pPr>
        <w:pStyle w:val="9"/>
        <w:spacing w:line="360" w:lineRule="auto"/>
        <w:ind w:left="420"/>
        <w:jc w:val="both"/>
        <w:rPr>
          <w:rFonts w:ascii="仿宋" w:hAnsi="仿宋" w:eastAsia="仿宋"/>
          <w:b/>
          <w:color w:val="auto"/>
        </w:rPr>
      </w:pPr>
      <w:r>
        <w:rPr>
          <w:rFonts w:hint="eastAsia" w:ascii="仿宋" w:hAnsi="仿宋" w:eastAsia="仿宋"/>
          <w:b/>
          <w:color w:val="auto"/>
        </w:rPr>
        <w:t>（三）</w:t>
      </w:r>
      <w:r>
        <w:rPr>
          <w:rFonts w:ascii="仿宋" w:hAnsi="仿宋" w:eastAsia="仿宋"/>
          <w:b/>
          <w:color w:val="auto"/>
        </w:rPr>
        <w:t xml:space="preserve"> </w:t>
      </w:r>
      <w:r>
        <w:rPr>
          <w:rFonts w:hint="eastAsia" w:ascii="仿宋" w:hAnsi="仿宋" w:eastAsia="仿宋"/>
          <w:b/>
          <w:color w:val="auto"/>
        </w:rPr>
        <w:t>“湖湘建设绿色尖峰榜”（个人）</w:t>
      </w:r>
    </w:p>
    <w:p>
      <w:pPr>
        <w:pStyle w:val="9"/>
        <w:numPr>
          <w:ilvl w:val="0"/>
          <w:numId w:val="6"/>
        </w:numPr>
        <w:spacing w:line="360" w:lineRule="auto"/>
        <w:ind w:firstLine="482"/>
        <w:jc w:val="both"/>
        <w:rPr>
          <w:rFonts w:hint="eastAsia" w:ascii="仿宋" w:hAnsi="仿宋" w:eastAsia="仿宋"/>
          <w:color w:val="auto"/>
        </w:rPr>
      </w:pPr>
      <w:r>
        <w:rPr>
          <w:rFonts w:hint="eastAsia" w:ascii="仿宋" w:hAnsi="仿宋" w:eastAsia="仿宋"/>
          <w:b/>
          <w:color w:val="auto"/>
        </w:rPr>
        <w:t>湖南省建设行业科技创新突出贡献人物</w:t>
      </w:r>
    </w:p>
    <w:p>
      <w:pPr>
        <w:tabs>
          <w:tab w:val="left" w:pos="312"/>
        </w:tabs>
        <w:snapToGrid w:val="0"/>
        <w:spacing w:line="360" w:lineRule="auto"/>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（1）所在企业（单位）科技创新达到省内领先水平；</w:t>
      </w:r>
    </w:p>
    <w:p>
      <w:pPr>
        <w:tabs>
          <w:tab w:val="left" w:pos="312"/>
        </w:tabs>
        <w:snapToGrid w:val="0"/>
        <w:spacing w:line="360" w:lineRule="auto"/>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（2）组织企业科技创新和技术攻关，每年至少组织主持承担3项省级以上科技研究项目，对已完成项目按时结题，科研成果突出；</w:t>
      </w:r>
    </w:p>
    <w:p>
      <w:pPr>
        <w:tabs>
          <w:tab w:val="left" w:pos="312"/>
        </w:tabs>
        <w:snapToGrid w:val="0"/>
        <w:spacing w:line="360" w:lineRule="auto"/>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（3）近两年内主持编制工程建设标准1部以上，积极组织申报国家级和省级工法、发明专利、科研课题、示范项目等工作突出；</w:t>
      </w:r>
    </w:p>
    <w:p>
      <w:pPr>
        <w:tabs>
          <w:tab w:val="left" w:pos="312"/>
        </w:tabs>
        <w:snapToGrid w:val="0"/>
        <w:spacing w:line="360" w:lineRule="auto"/>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（4）积极组织开发或推广应用新技术、新工艺、新材料、新产品、新设备，业绩突出；</w:t>
      </w:r>
    </w:p>
    <w:p>
      <w:pPr>
        <w:tabs>
          <w:tab w:val="left" w:pos="312"/>
        </w:tabs>
        <w:snapToGrid w:val="0"/>
        <w:spacing w:line="360" w:lineRule="auto"/>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（5）注重本单位科技创新队伍建设和科技人才培养，且成绩突出；</w:t>
      </w:r>
    </w:p>
    <w:p>
      <w:pPr>
        <w:pStyle w:val="9"/>
        <w:tabs>
          <w:tab w:val="left" w:pos="312"/>
        </w:tabs>
        <w:spacing w:line="360" w:lineRule="auto"/>
        <w:ind w:firstLine="480" w:firstLineChars="200"/>
        <w:jc w:val="both"/>
        <w:rPr>
          <w:rFonts w:hint="eastAsia" w:ascii="仿宋" w:hAnsi="仿宋" w:eastAsia="仿宋"/>
          <w:color w:val="auto"/>
        </w:rPr>
      </w:pPr>
      <w:r>
        <w:rPr>
          <w:rFonts w:hint="eastAsia" w:ascii="仿宋" w:hAnsi="仿宋" w:eastAsia="仿宋"/>
          <w:color w:val="auto"/>
        </w:rPr>
        <w:t>（6）热心全省建设行业科技创新工作，并积极参与。</w:t>
      </w:r>
    </w:p>
    <w:p>
      <w:pPr>
        <w:pStyle w:val="9"/>
        <w:numPr>
          <w:ilvl w:val="0"/>
          <w:numId w:val="6"/>
        </w:numPr>
        <w:spacing w:line="360" w:lineRule="auto"/>
        <w:ind w:firstLine="482"/>
        <w:jc w:val="both"/>
        <w:rPr>
          <w:rFonts w:ascii="仿宋" w:hAnsi="仿宋" w:eastAsia="仿宋"/>
          <w:color w:val="auto"/>
        </w:rPr>
      </w:pPr>
      <w:r>
        <w:rPr>
          <w:rFonts w:hint="eastAsia" w:ascii="仿宋" w:hAnsi="仿宋" w:eastAsia="仿宋"/>
          <w:b/>
          <w:color w:val="auto"/>
        </w:rPr>
        <w:t>湖南省绿色建筑、装配式建筑、建筑节能等行业优秀企业家</w:t>
      </w:r>
    </w:p>
    <w:p>
      <w:pPr>
        <w:pStyle w:val="9"/>
        <w:numPr>
          <w:ilvl w:val="0"/>
          <w:numId w:val="7"/>
        </w:numPr>
        <w:spacing w:line="360" w:lineRule="auto"/>
        <w:ind w:firstLine="480" w:firstLineChars="200"/>
        <w:jc w:val="both"/>
        <w:rPr>
          <w:rFonts w:ascii="仿宋" w:hAnsi="仿宋" w:eastAsia="仿宋"/>
          <w:color w:val="auto"/>
        </w:rPr>
      </w:pPr>
      <w:r>
        <w:rPr>
          <w:rFonts w:hint="eastAsia" w:ascii="仿宋" w:hAnsi="仿宋" w:eastAsia="仿宋"/>
          <w:color w:val="auto"/>
        </w:rPr>
        <w:t>申报个人为本单位法人代表或第一负责人；</w:t>
      </w:r>
    </w:p>
    <w:p>
      <w:pPr>
        <w:pStyle w:val="9"/>
        <w:numPr>
          <w:ilvl w:val="255"/>
          <w:numId w:val="0"/>
        </w:numPr>
        <w:spacing w:line="360" w:lineRule="auto"/>
        <w:ind w:firstLine="484" w:firstLineChars="200"/>
        <w:jc w:val="both"/>
        <w:rPr>
          <w:rFonts w:ascii="仿宋" w:hAnsi="仿宋" w:eastAsia="仿宋"/>
          <w:color w:val="auto"/>
        </w:rPr>
      </w:pPr>
      <w:r>
        <w:rPr>
          <w:rFonts w:hint="eastAsia" w:ascii="仿宋" w:hAnsi="仿宋" w:eastAsia="仿宋"/>
          <w:snapToGrid w:val="0"/>
          <w:color w:val="auto"/>
          <w:spacing w:val="1"/>
        </w:rPr>
        <w:t>（</w:t>
      </w:r>
      <w:r>
        <w:rPr>
          <w:rFonts w:ascii="仿宋" w:hAnsi="仿宋" w:eastAsia="仿宋"/>
          <w:snapToGrid w:val="0"/>
          <w:color w:val="auto"/>
          <w:spacing w:val="1"/>
        </w:rPr>
        <w:t>2</w:t>
      </w:r>
      <w:r>
        <w:rPr>
          <w:rFonts w:hint="eastAsia" w:ascii="仿宋" w:hAnsi="仿宋" w:eastAsia="仿宋"/>
          <w:snapToGrid w:val="0"/>
          <w:color w:val="auto"/>
          <w:spacing w:val="1"/>
        </w:rPr>
        <w:t>）</w:t>
      </w:r>
      <w:r>
        <w:rPr>
          <w:rFonts w:hint="eastAsia" w:ascii="仿宋" w:hAnsi="仿宋" w:eastAsia="仿宋"/>
          <w:color w:val="auto"/>
        </w:rPr>
        <w:t>在行业内具有一定知名度和影响力；</w:t>
      </w:r>
    </w:p>
    <w:p>
      <w:pPr>
        <w:pStyle w:val="9"/>
        <w:numPr>
          <w:ilvl w:val="255"/>
          <w:numId w:val="0"/>
        </w:numPr>
        <w:spacing w:line="360" w:lineRule="auto"/>
        <w:ind w:firstLine="484" w:firstLineChars="200"/>
        <w:jc w:val="both"/>
        <w:rPr>
          <w:rFonts w:ascii="仿宋" w:hAnsi="仿宋" w:eastAsia="仿宋"/>
          <w:color w:val="auto"/>
        </w:rPr>
      </w:pPr>
      <w:r>
        <w:rPr>
          <w:rFonts w:hint="eastAsia" w:ascii="仿宋" w:hAnsi="仿宋" w:eastAsia="仿宋"/>
          <w:snapToGrid w:val="0"/>
          <w:color w:val="auto"/>
          <w:spacing w:val="1"/>
        </w:rPr>
        <w:t>（</w:t>
      </w:r>
      <w:r>
        <w:rPr>
          <w:rFonts w:ascii="仿宋" w:hAnsi="仿宋" w:eastAsia="仿宋"/>
          <w:snapToGrid w:val="0"/>
          <w:color w:val="auto"/>
          <w:spacing w:val="1"/>
        </w:rPr>
        <w:t>3</w:t>
      </w:r>
      <w:r>
        <w:rPr>
          <w:rFonts w:hint="eastAsia" w:ascii="仿宋" w:hAnsi="仿宋" w:eastAsia="仿宋"/>
          <w:snapToGrid w:val="0"/>
          <w:color w:val="auto"/>
          <w:spacing w:val="1"/>
        </w:rPr>
        <w:t>）</w:t>
      </w:r>
      <w:r>
        <w:rPr>
          <w:rFonts w:hint="eastAsia" w:ascii="仿宋" w:hAnsi="仿宋" w:eastAsia="仿宋"/>
          <w:color w:val="auto"/>
        </w:rPr>
        <w:t>热心建筑行业，积极参与行业活动，为行业发展献言献策并能够起到模范带头作用；</w:t>
      </w:r>
    </w:p>
    <w:p>
      <w:pPr>
        <w:pStyle w:val="9"/>
        <w:numPr>
          <w:ilvl w:val="255"/>
          <w:numId w:val="0"/>
        </w:numPr>
        <w:spacing w:line="360" w:lineRule="auto"/>
        <w:ind w:firstLine="480" w:firstLineChars="200"/>
        <w:jc w:val="both"/>
        <w:rPr>
          <w:rFonts w:ascii="仿宋" w:hAnsi="仿宋" w:eastAsia="仿宋"/>
          <w:color w:val="auto"/>
        </w:rPr>
      </w:pPr>
      <w:r>
        <w:rPr>
          <w:rFonts w:hint="eastAsia" w:ascii="仿宋" w:hAnsi="仿宋" w:eastAsia="仿宋"/>
          <w:color w:val="auto"/>
        </w:rPr>
        <w:t>（4）主持承担省级以上科技研究项目或主持编制工程建设标准等优先。</w:t>
      </w:r>
    </w:p>
    <w:p>
      <w:pPr>
        <w:pStyle w:val="9"/>
        <w:numPr>
          <w:ilvl w:val="0"/>
          <w:numId w:val="6"/>
        </w:numPr>
        <w:spacing w:line="360" w:lineRule="auto"/>
        <w:ind w:firstLine="482" w:firstLineChars="200"/>
        <w:jc w:val="both"/>
        <w:rPr>
          <w:rFonts w:ascii="仿宋" w:hAnsi="仿宋" w:eastAsia="仿宋"/>
          <w:color w:val="auto"/>
        </w:rPr>
      </w:pPr>
      <w:r>
        <w:rPr>
          <w:rFonts w:hint="eastAsia" w:ascii="仿宋" w:hAnsi="仿宋" w:eastAsia="仿宋"/>
          <w:b/>
          <w:color w:val="auto"/>
        </w:rPr>
        <w:t>湖南省绿色建筑、装配式建筑、建筑节能等</w:t>
      </w:r>
      <w:bookmarkStart w:id="0" w:name="_GoBack"/>
      <w:bookmarkEnd w:id="0"/>
      <w:r>
        <w:rPr>
          <w:rFonts w:hint="eastAsia" w:ascii="仿宋" w:hAnsi="仿宋" w:eastAsia="仿宋"/>
          <w:b/>
          <w:color w:val="auto"/>
        </w:rPr>
        <w:t>行业先进工作者</w:t>
      </w:r>
    </w:p>
    <w:p>
      <w:pPr>
        <w:pStyle w:val="9"/>
        <w:numPr>
          <w:ilvl w:val="0"/>
          <w:numId w:val="8"/>
        </w:numPr>
        <w:spacing w:line="360" w:lineRule="auto"/>
        <w:ind w:firstLine="484"/>
        <w:jc w:val="both"/>
        <w:rPr>
          <w:rFonts w:ascii="仿宋" w:hAnsi="仿宋" w:eastAsia="仿宋"/>
          <w:snapToGrid w:val="0"/>
          <w:color w:val="auto"/>
          <w:spacing w:val="1"/>
        </w:rPr>
      </w:pPr>
      <w:r>
        <w:rPr>
          <w:rFonts w:hint="eastAsia" w:ascii="仿宋" w:hAnsi="仿宋" w:eastAsia="仿宋"/>
          <w:snapToGrid w:val="0"/>
          <w:color w:val="auto"/>
          <w:spacing w:val="1"/>
        </w:rPr>
        <w:t>担任单位专职技术管理人员，且从事单位技术管理工作3年以上；；</w:t>
      </w:r>
    </w:p>
    <w:p>
      <w:pPr>
        <w:pStyle w:val="9"/>
        <w:numPr>
          <w:ilvl w:val="0"/>
          <w:numId w:val="8"/>
        </w:numPr>
        <w:spacing w:line="360" w:lineRule="auto"/>
        <w:ind w:firstLine="484"/>
        <w:jc w:val="both"/>
        <w:rPr>
          <w:rFonts w:ascii="仿宋" w:hAnsi="仿宋" w:eastAsia="仿宋"/>
          <w:color w:val="auto"/>
        </w:rPr>
      </w:pPr>
      <w:r>
        <w:rPr>
          <w:rFonts w:hint="eastAsia" w:ascii="仿宋" w:hAnsi="仿宋" w:eastAsia="仿宋"/>
          <w:snapToGrid w:val="0"/>
          <w:color w:val="auto"/>
          <w:spacing w:val="1"/>
        </w:rPr>
        <w:t>工作期间3年内无违规违法行为;</w:t>
      </w:r>
    </w:p>
    <w:p>
      <w:pPr>
        <w:pStyle w:val="9"/>
        <w:numPr>
          <w:ilvl w:val="0"/>
          <w:numId w:val="8"/>
        </w:numPr>
        <w:spacing w:line="360" w:lineRule="auto"/>
        <w:ind w:firstLine="484"/>
        <w:jc w:val="both"/>
        <w:rPr>
          <w:rFonts w:ascii="仿宋" w:hAnsi="仿宋" w:eastAsia="仿宋"/>
          <w:color w:val="auto"/>
        </w:rPr>
      </w:pPr>
      <w:r>
        <w:rPr>
          <w:rFonts w:hint="eastAsia" w:ascii="仿宋" w:hAnsi="仿宋" w:eastAsia="仿宋"/>
          <w:snapToGrid w:val="0"/>
          <w:color w:val="auto"/>
          <w:spacing w:val="1"/>
        </w:rPr>
        <w:t>工作认真负责，具有一定的专业知识，积极组织相关行业活动，积极参与协会的有关工作;</w:t>
      </w:r>
    </w:p>
    <w:p>
      <w:pPr>
        <w:pStyle w:val="9"/>
        <w:numPr>
          <w:ilvl w:val="0"/>
          <w:numId w:val="8"/>
        </w:numPr>
        <w:spacing w:line="360" w:lineRule="auto"/>
        <w:ind w:firstLine="484"/>
        <w:jc w:val="both"/>
        <w:rPr>
          <w:rFonts w:ascii="仿宋" w:hAnsi="仿宋" w:eastAsia="仿宋"/>
          <w:color w:val="auto"/>
        </w:rPr>
      </w:pPr>
      <w:r>
        <w:rPr>
          <w:rFonts w:hint="eastAsia" w:ascii="仿宋" w:hAnsi="仿宋" w:eastAsia="仿宋"/>
          <w:color w:val="auto"/>
        </w:rPr>
        <w:t>积极组织工法、专利、科研课题、示范项目、标识评价等工作且成效显著优先。</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第三章 评选方式</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协会和促进会秘书处对所有申报资料进行初选。</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协会和促进会组织成立评选委员会，负责申报事项的评选工作，对资料初选合格的单位、项目成果及个人进行专家复选。</w:t>
      </w:r>
    </w:p>
    <w:p>
      <w:pPr>
        <w:pStyle w:val="9"/>
        <w:numPr>
          <w:ilvl w:val="1"/>
          <w:numId w:val="2"/>
        </w:numPr>
        <w:spacing w:line="360" w:lineRule="auto"/>
        <w:ind w:left="0" w:firstLine="480" w:firstLineChars="200"/>
        <w:jc w:val="both"/>
        <w:rPr>
          <w:rFonts w:ascii="仿宋" w:hAnsi="仿宋" w:eastAsia="仿宋"/>
          <w:color w:val="auto"/>
          <w:sz w:val="28"/>
          <w:szCs w:val="28"/>
        </w:rPr>
      </w:pPr>
      <w:r>
        <w:rPr>
          <w:rFonts w:hint="eastAsia" w:ascii="仿宋" w:hAnsi="仿宋" w:eastAsia="仿宋"/>
          <w:color w:val="auto"/>
        </w:rPr>
        <w:t>评选结果在湖南省建设科技与建筑节能协会网站和乐居网站公示，经公示无异议后，将最终确定获选名单，并对获选单位、项目成果和个人进行表彰授奖。</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第四章 表彰和宣传</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由湖南省建设科技与建筑节能协会和湖南省住宅产业化促进会向获奖单位、项目成果及个人授予奖杯（牌）和证书，并通报表彰。</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对荣获</w:t>
      </w:r>
      <w:r>
        <w:rPr>
          <w:rFonts w:ascii="仿宋" w:hAnsi="仿宋" w:eastAsia="仿宋"/>
          <w:color w:val="auto"/>
        </w:rPr>
        <w:t>“</w:t>
      </w:r>
      <w:r>
        <w:rPr>
          <w:rFonts w:hint="eastAsia" w:ascii="仿宋" w:hAnsi="仿宋" w:eastAsia="仿宋"/>
          <w:color w:val="auto"/>
        </w:rPr>
        <w:t>湖湘建设绿色尖峰榜</w:t>
      </w:r>
      <w:r>
        <w:rPr>
          <w:rFonts w:ascii="仿宋" w:hAnsi="仿宋" w:eastAsia="仿宋"/>
          <w:color w:val="auto"/>
        </w:rPr>
        <w:t>”</w:t>
      </w:r>
      <w:r>
        <w:rPr>
          <w:rFonts w:hint="eastAsia" w:ascii="仿宋" w:hAnsi="仿宋" w:eastAsia="仿宋"/>
          <w:color w:val="auto"/>
        </w:rPr>
        <w:t>的单位、项目成果及个人进行网上公告、简讯刊登、微信宣传、报纸、广播、电视、网络等媒体宣传等。</w:t>
      </w:r>
    </w:p>
    <w:p>
      <w:pPr>
        <w:pStyle w:val="9"/>
        <w:numPr>
          <w:ilvl w:val="1"/>
          <w:numId w:val="2"/>
        </w:numPr>
        <w:spacing w:line="360" w:lineRule="auto"/>
        <w:jc w:val="both"/>
        <w:rPr>
          <w:rFonts w:ascii="仿宋" w:hAnsi="仿宋" w:eastAsia="仿宋"/>
          <w:color w:val="auto"/>
          <w:sz w:val="28"/>
          <w:szCs w:val="28"/>
        </w:rPr>
      </w:pPr>
      <w:r>
        <w:rPr>
          <w:rFonts w:hint="eastAsia" w:ascii="仿宋" w:hAnsi="仿宋" w:eastAsia="仿宋"/>
          <w:color w:val="auto"/>
        </w:rPr>
        <w:t>获奖单位、项目成果及个人将编入《湖湘建设绿色创新成就展集》。</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第五章 纪律制度</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申报单位应如实提供单位及项目成果情况和相关资料，不得弄虚作假</w:t>
      </w:r>
      <w:r>
        <w:rPr>
          <w:rFonts w:ascii="仿宋" w:hAnsi="仿宋" w:eastAsia="仿宋"/>
          <w:color w:val="auto"/>
        </w:rPr>
        <w:t>,</w:t>
      </w:r>
      <w:r>
        <w:rPr>
          <w:rFonts w:hint="eastAsia" w:ascii="仿宋" w:hAnsi="仿宋" w:eastAsia="仿宋"/>
          <w:color w:val="auto"/>
        </w:rPr>
        <w:t>积极配合专委会、促进会及专家的评选工作。违反者，视情节轻重给予批评教育、撤销申报资格、通报批评、或取消获奖资格等处罚。</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参加评选的人员和评选专家要秉公办事，严守秘密，廉洁自律。对违规者，视情节轻重给予批评教育，或撤销相应的资格等处罚、并承担相应责任。</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任何单位和个人不得仿制和伪造奖杯、奖牌和证书。</w:t>
      </w:r>
    </w:p>
    <w:p>
      <w:pPr>
        <w:pStyle w:val="9"/>
        <w:numPr>
          <w:ilvl w:val="0"/>
          <w:numId w:val="1"/>
        </w:numPr>
        <w:spacing w:before="156" w:beforeLines="50" w:after="156" w:afterLines="50"/>
        <w:jc w:val="center"/>
        <w:rPr>
          <w:rFonts w:ascii="黑体" w:hAnsi="黑体" w:eastAsia="黑体"/>
          <w:color w:val="auto"/>
          <w:sz w:val="28"/>
          <w:szCs w:val="28"/>
        </w:rPr>
      </w:pPr>
      <w:r>
        <w:rPr>
          <w:rFonts w:hint="eastAsia" w:ascii="黑体" w:hAnsi="黑体" w:eastAsia="黑体"/>
          <w:color w:val="auto"/>
          <w:sz w:val="28"/>
          <w:szCs w:val="28"/>
        </w:rPr>
        <w:t>第六章 附则</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申报及评选不收费，后期宣传费用以自愿、非盈利为原则，由参评单位自理。</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本办法由湖南省建设科技与建筑节能协会和湖南省住宅产业化促进会负责解释。</w:t>
      </w:r>
    </w:p>
    <w:p>
      <w:pPr>
        <w:pStyle w:val="9"/>
        <w:numPr>
          <w:ilvl w:val="1"/>
          <w:numId w:val="2"/>
        </w:numPr>
        <w:spacing w:line="360" w:lineRule="auto"/>
        <w:ind w:left="0" w:firstLine="480" w:firstLineChars="200"/>
        <w:jc w:val="both"/>
        <w:rPr>
          <w:rFonts w:ascii="仿宋" w:hAnsi="仿宋" w:eastAsia="仿宋"/>
          <w:color w:val="auto"/>
        </w:rPr>
      </w:pPr>
      <w:r>
        <w:rPr>
          <w:rFonts w:hint="eastAsia" w:ascii="仿宋" w:hAnsi="仿宋" w:eastAsia="仿宋"/>
          <w:color w:val="auto"/>
        </w:rPr>
        <w:t>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7DAC4"/>
    <w:multiLevelType w:val="singleLevel"/>
    <w:tmpl w:val="8D67DAC4"/>
    <w:lvl w:ilvl="0" w:tentative="0">
      <w:start w:val="1"/>
      <w:numFmt w:val="decimal"/>
      <w:lvlText w:val="%1."/>
      <w:lvlJc w:val="left"/>
      <w:pPr>
        <w:tabs>
          <w:tab w:val="left" w:pos="312"/>
        </w:tabs>
      </w:pPr>
      <w:rPr>
        <w:b/>
        <w:color w:val="auto"/>
      </w:rPr>
    </w:lvl>
  </w:abstractNum>
  <w:abstractNum w:abstractNumId="1">
    <w:nsid w:val="A03B416B"/>
    <w:multiLevelType w:val="singleLevel"/>
    <w:tmpl w:val="A03B416B"/>
    <w:lvl w:ilvl="0" w:tentative="0">
      <w:start w:val="1"/>
      <w:numFmt w:val="decimal"/>
      <w:suff w:val="nothing"/>
      <w:lvlText w:val="（%1）"/>
      <w:lvlJc w:val="left"/>
    </w:lvl>
  </w:abstractNum>
  <w:abstractNum w:abstractNumId="2">
    <w:nsid w:val="A9D048A8"/>
    <w:multiLevelType w:val="singleLevel"/>
    <w:tmpl w:val="A9D048A8"/>
    <w:lvl w:ilvl="0" w:tentative="0">
      <w:start w:val="1"/>
      <w:numFmt w:val="decimal"/>
      <w:suff w:val="nothing"/>
      <w:lvlText w:val="（%1）"/>
      <w:lvlJc w:val="left"/>
    </w:lvl>
  </w:abstractNum>
  <w:abstractNum w:abstractNumId="3">
    <w:nsid w:val="D3D0583F"/>
    <w:multiLevelType w:val="multilevel"/>
    <w:tmpl w:val="D3D0583F"/>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DC0C5382"/>
    <w:multiLevelType w:val="singleLevel"/>
    <w:tmpl w:val="DC0C5382"/>
    <w:lvl w:ilvl="0" w:tentative="0">
      <w:start w:val="2"/>
      <w:numFmt w:val="decimal"/>
      <w:lvlText w:val="%1."/>
      <w:lvlJc w:val="left"/>
      <w:pPr>
        <w:tabs>
          <w:tab w:val="left" w:pos="312"/>
        </w:tabs>
      </w:pPr>
    </w:lvl>
  </w:abstractNum>
  <w:abstractNum w:abstractNumId="5">
    <w:nsid w:val="EA6E74BC"/>
    <w:multiLevelType w:val="singleLevel"/>
    <w:tmpl w:val="EA6E74BC"/>
    <w:lvl w:ilvl="0" w:tentative="0">
      <w:start w:val="1"/>
      <w:numFmt w:val="decimal"/>
      <w:suff w:val="nothing"/>
      <w:lvlText w:val="（%1）"/>
      <w:lvlJc w:val="left"/>
    </w:lvl>
  </w:abstractNum>
  <w:abstractNum w:abstractNumId="6">
    <w:nsid w:val="24F16E57"/>
    <w:multiLevelType w:val="multilevel"/>
    <w:tmpl w:val="24F16E57"/>
    <w:lvl w:ilvl="0" w:tentative="0">
      <w:start w:val="1"/>
      <w:numFmt w:val="chineseCountingThousand"/>
      <w:lvlText w:val="第%1条"/>
      <w:lvlJc w:val="left"/>
      <w:pPr>
        <w:ind w:left="900" w:hanging="420"/>
      </w:pPr>
      <w:rPr>
        <w:rFonts w:hint="eastAsia"/>
      </w:rPr>
    </w:lvl>
    <w:lvl w:ilvl="1" w:tentative="0">
      <w:start w:val="1"/>
      <w:numFmt w:val="chineseCountingThousand"/>
      <w:lvlText w:val="第%2条"/>
      <w:lvlJc w:val="left"/>
      <w:pPr>
        <w:ind w:left="840" w:hanging="420"/>
      </w:pPr>
      <w:rPr>
        <w:rFonts w:hint="eastAsia"/>
        <w:color w:val="auto"/>
        <w:sz w:val="24"/>
        <w:szCs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24806E6"/>
    <w:multiLevelType w:val="multilevel"/>
    <w:tmpl w:val="424806E6"/>
    <w:lvl w:ilvl="0" w:tentative="0">
      <w:start w:val="1"/>
      <w:numFmt w:val="decimal"/>
      <w:lvlText w:val="（%1）"/>
      <w:lvlJc w:val="left"/>
      <w:pPr>
        <w:ind w:left="1530" w:hanging="1050"/>
      </w:pPr>
      <w:rPr>
        <w:rFonts w:hint="default" w:ascii="仿宋" w:hAnsi="仿宋" w:eastAsia="仿宋" w:cs="宋体"/>
        <w:color w:val="auto"/>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0A"/>
    <w:rsid w:val="000121B6"/>
    <w:rsid w:val="00017955"/>
    <w:rsid w:val="00030B3C"/>
    <w:rsid w:val="0004443B"/>
    <w:rsid w:val="00062978"/>
    <w:rsid w:val="0006641D"/>
    <w:rsid w:val="0007711F"/>
    <w:rsid w:val="000E6943"/>
    <w:rsid w:val="00100C8E"/>
    <w:rsid w:val="0010311F"/>
    <w:rsid w:val="00106EEE"/>
    <w:rsid w:val="001168E6"/>
    <w:rsid w:val="00117C13"/>
    <w:rsid w:val="00133527"/>
    <w:rsid w:val="00135901"/>
    <w:rsid w:val="00161C5D"/>
    <w:rsid w:val="0018798B"/>
    <w:rsid w:val="001B4636"/>
    <w:rsid w:val="001F3552"/>
    <w:rsid w:val="001F6DEA"/>
    <w:rsid w:val="00225E0A"/>
    <w:rsid w:val="00236E62"/>
    <w:rsid w:val="002440B0"/>
    <w:rsid w:val="00264ED9"/>
    <w:rsid w:val="00275F3D"/>
    <w:rsid w:val="002904DF"/>
    <w:rsid w:val="00291F75"/>
    <w:rsid w:val="002C609C"/>
    <w:rsid w:val="002E0A04"/>
    <w:rsid w:val="003444F5"/>
    <w:rsid w:val="003472EC"/>
    <w:rsid w:val="00364F8C"/>
    <w:rsid w:val="00366C0C"/>
    <w:rsid w:val="003C5347"/>
    <w:rsid w:val="003D1AA8"/>
    <w:rsid w:val="003E0CFA"/>
    <w:rsid w:val="0042251E"/>
    <w:rsid w:val="004459F7"/>
    <w:rsid w:val="004A4B51"/>
    <w:rsid w:val="004F4E2B"/>
    <w:rsid w:val="005529A1"/>
    <w:rsid w:val="00566145"/>
    <w:rsid w:val="00567A3D"/>
    <w:rsid w:val="00586C0B"/>
    <w:rsid w:val="005C2CE4"/>
    <w:rsid w:val="005D16C2"/>
    <w:rsid w:val="005E2D3C"/>
    <w:rsid w:val="005F363E"/>
    <w:rsid w:val="006020A4"/>
    <w:rsid w:val="00623F57"/>
    <w:rsid w:val="00625172"/>
    <w:rsid w:val="006404ED"/>
    <w:rsid w:val="00680B3C"/>
    <w:rsid w:val="006B35D4"/>
    <w:rsid w:val="006E429B"/>
    <w:rsid w:val="006E667F"/>
    <w:rsid w:val="007000A1"/>
    <w:rsid w:val="00746D0C"/>
    <w:rsid w:val="00760B74"/>
    <w:rsid w:val="0076260E"/>
    <w:rsid w:val="00775719"/>
    <w:rsid w:val="00784AE2"/>
    <w:rsid w:val="007B743E"/>
    <w:rsid w:val="007D1DE3"/>
    <w:rsid w:val="007E517D"/>
    <w:rsid w:val="008806FD"/>
    <w:rsid w:val="00881826"/>
    <w:rsid w:val="008A7949"/>
    <w:rsid w:val="008B65B9"/>
    <w:rsid w:val="009301CE"/>
    <w:rsid w:val="0095383F"/>
    <w:rsid w:val="009A157A"/>
    <w:rsid w:val="009B1AB6"/>
    <w:rsid w:val="009D1CFD"/>
    <w:rsid w:val="009E3BF0"/>
    <w:rsid w:val="009E60A7"/>
    <w:rsid w:val="009F163A"/>
    <w:rsid w:val="009F4787"/>
    <w:rsid w:val="00A3467E"/>
    <w:rsid w:val="00A37089"/>
    <w:rsid w:val="00A41B5A"/>
    <w:rsid w:val="00A56378"/>
    <w:rsid w:val="00A664A6"/>
    <w:rsid w:val="00A8568F"/>
    <w:rsid w:val="00AA5E6F"/>
    <w:rsid w:val="00B15741"/>
    <w:rsid w:val="00B70A1F"/>
    <w:rsid w:val="00B72E50"/>
    <w:rsid w:val="00B76CD8"/>
    <w:rsid w:val="00B811E8"/>
    <w:rsid w:val="00B93A72"/>
    <w:rsid w:val="00BB1699"/>
    <w:rsid w:val="00BD025D"/>
    <w:rsid w:val="00C223BF"/>
    <w:rsid w:val="00C54D75"/>
    <w:rsid w:val="00CD46D4"/>
    <w:rsid w:val="00D156DD"/>
    <w:rsid w:val="00D35C76"/>
    <w:rsid w:val="00D51A31"/>
    <w:rsid w:val="00D7629C"/>
    <w:rsid w:val="00D77F38"/>
    <w:rsid w:val="00D8713B"/>
    <w:rsid w:val="00D976A3"/>
    <w:rsid w:val="00DC48E5"/>
    <w:rsid w:val="00E072A9"/>
    <w:rsid w:val="00E32B74"/>
    <w:rsid w:val="00E44201"/>
    <w:rsid w:val="00EA34E2"/>
    <w:rsid w:val="00EB64FE"/>
    <w:rsid w:val="00EE274D"/>
    <w:rsid w:val="00EE685A"/>
    <w:rsid w:val="00EF1222"/>
    <w:rsid w:val="00EF3F10"/>
    <w:rsid w:val="00F33E7F"/>
    <w:rsid w:val="00F726E6"/>
    <w:rsid w:val="00F76DFA"/>
    <w:rsid w:val="00FB2B92"/>
    <w:rsid w:val="00FD402B"/>
    <w:rsid w:val="02905792"/>
    <w:rsid w:val="0ACE0EAB"/>
    <w:rsid w:val="164908B6"/>
    <w:rsid w:val="17615521"/>
    <w:rsid w:val="17E53B37"/>
    <w:rsid w:val="2852199D"/>
    <w:rsid w:val="28BF4023"/>
    <w:rsid w:val="35E32F40"/>
    <w:rsid w:val="3F93114C"/>
    <w:rsid w:val="440C3071"/>
    <w:rsid w:val="4AAD7485"/>
    <w:rsid w:val="4D780869"/>
    <w:rsid w:val="53991FB8"/>
    <w:rsid w:val="575E0A94"/>
    <w:rsid w:val="59EF5C34"/>
    <w:rsid w:val="5AE93563"/>
    <w:rsid w:val="69241647"/>
    <w:rsid w:val="6C9A28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6"/>
    <w:link w:val="4"/>
    <w:qFormat/>
    <w:uiPriority w:val="99"/>
    <w:rPr>
      <w:rFonts w:ascii="Calibri" w:hAnsi="Calibri" w:eastAsia="宋体" w:cs="Times New Roman"/>
      <w:sz w:val="18"/>
      <w:szCs w:val="18"/>
    </w:rPr>
  </w:style>
  <w:style w:type="character" w:customStyle="1" w:styleId="12">
    <w:name w:val="页脚 Char"/>
    <w:basedOn w:val="6"/>
    <w:link w:val="3"/>
    <w:qFormat/>
    <w:uiPriority w:val="99"/>
    <w:rPr>
      <w:rFonts w:ascii="Calibri" w:hAnsi="Calibri" w:eastAsia="宋体" w:cs="Times New Roman"/>
      <w:sz w:val="18"/>
      <w:szCs w:val="18"/>
    </w:rPr>
  </w:style>
  <w:style w:type="character" w:customStyle="1" w:styleId="13">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5</Pages>
  <Words>455</Words>
  <Characters>2600</Characters>
  <Lines>21</Lines>
  <Paragraphs>6</Paragraphs>
  <TotalTime>1</TotalTime>
  <ScaleCrop>false</ScaleCrop>
  <LinksUpToDate>false</LinksUpToDate>
  <CharactersWithSpaces>3049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2018-09-25T17:36:00Z</dcterms:created>
  <dc:creator>WANWAN</dc:creator>
  <cp:lastModifiedBy>Administrator</cp:lastModifiedBy>
  <dcterms:modified xsi:type="dcterms:W3CDTF">2018-09-26T01:26:18Z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